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6584" w:rsidRDefault="00CE6584" w:rsidP="00CE6584">
      <w:pPr>
        <w:spacing w:after="120"/>
        <w:rPr>
          <w:rFonts w:ascii="Times New Roman" w:hAnsi="Times New Roman"/>
          <w:sz w:val="22"/>
        </w:rPr>
      </w:pPr>
      <w:r w:rsidRPr="00CE6584">
        <w:rPr>
          <w:rFonts w:ascii="Times New Roman" w:hAnsi="Times New Roman"/>
          <w:sz w:val="22"/>
        </w:rPr>
        <w:t xml:space="preserve">K. </w:t>
      </w:r>
      <w:proofErr w:type="spellStart"/>
      <w:r w:rsidRPr="00CE6584">
        <w:rPr>
          <w:rFonts w:ascii="Times New Roman" w:hAnsi="Times New Roman"/>
          <w:sz w:val="22"/>
        </w:rPr>
        <w:t>Kernaghan</w:t>
      </w:r>
      <w:proofErr w:type="spellEnd"/>
      <w:r w:rsidRPr="00CE6584">
        <w:rPr>
          <w:rFonts w:ascii="Times New Roman" w:hAnsi="Times New Roman"/>
          <w:sz w:val="22"/>
        </w:rPr>
        <w:t xml:space="preserve">, “Speaking truth to academics: the wisdom of the practitioners,” </w:t>
      </w:r>
      <w:r w:rsidRPr="00CE6584">
        <w:rPr>
          <w:rFonts w:ascii="Times New Roman" w:hAnsi="Times New Roman"/>
          <w:i/>
          <w:sz w:val="22"/>
        </w:rPr>
        <w:t>Canadian Public Administration</w:t>
      </w:r>
      <w:r w:rsidRPr="00CE6584">
        <w:rPr>
          <w:rFonts w:ascii="Times New Roman" w:hAnsi="Times New Roman"/>
          <w:sz w:val="22"/>
        </w:rPr>
        <w:t xml:space="preserve"> 52 (December 2009</w:t>
      </w:r>
      <w:r>
        <w:rPr>
          <w:rFonts w:ascii="Times New Roman" w:hAnsi="Times New Roman"/>
          <w:sz w:val="22"/>
        </w:rPr>
        <w:t>)</w:t>
      </w:r>
    </w:p>
    <w:p w:rsidR="00CE6584" w:rsidRDefault="00CE6584" w:rsidP="00CE6584">
      <w:pPr>
        <w:spacing w:after="120"/>
        <w:rPr>
          <w:rFonts w:ascii="Times New Roman" w:hAnsi="Times New Roman"/>
          <w:sz w:val="22"/>
        </w:rPr>
      </w:pPr>
    </w:p>
    <w:p w:rsidR="00CE6584" w:rsidRDefault="00CE6584" w:rsidP="00CE6584">
      <w:pPr>
        <w:spacing w:after="120"/>
        <w:rPr>
          <w:rFonts w:ascii="Times New Roman" w:hAnsi="Times New Roman"/>
          <w:b/>
          <w:sz w:val="22"/>
        </w:rPr>
      </w:pPr>
      <w:r>
        <w:rPr>
          <w:rFonts w:ascii="Times New Roman" w:hAnsi="Times New Roman"/>
          <w:b/>
          <w:sz w:val="22"/>
        </w:rPr>
        <w:t>Overview:</w:t>
      </w:r>
    </w:p>
    <w:p w:rsidR="00CE6584" w:rsidRDefault="00CE6584" w:rsidP="00CE6584">
      <w:pPr>
        <w:spacing w:after="120"/>
        <w:rPr>
          <w:rFonts w:ascii="Times New Roman" w:hAnsi="Times New Roman"/>
          <w:sz w:val="22"/>
        </w:rPr>
      </w:pPr>
      <w:r>
        <w:rPr>
          <w:rFonts w:ascii="Times New Roman" w:hAnsi="Times New Roman"/>
          <w:sz w:val="22"/>
        </w:rPr>
        <w:t>There is a gulf between theory and practice in public admin. Public servants can speak “truth to academics” broadly speaking, in providing information, analysis, and counsel concerning the applicability of scholarly writings on their work. Article profiles several public servants who continued to make contributions to the scholarly world. Listed among factors that limit such contributions include time constraints, scarcity of publication outlets, and lack of senior-level support.</w:t>
      </w:r>
    </w:p>
    <w:p w:rsidR="00AE089E" w:rsidRDefault="00AE089E" w:rsidP="00CE6584">
      <w:pPr>
        <w:spacing w:after="120"/>
        <w:rPr>
          <w:rFonts w:ascii="Times New Roman" w:hAnsi="Times New Roman"/>
          <w:b/>
          <w:sz w:val="22"/>
        </w:rPr>
      </w:pPr>
      <w:r>
        <w:rPr>
          <w:rFonts w:ascii="Times New Roman" w:hAnsi="Times New Roman"/>
          <w:b/>
          <w:sz w:val="22"/>
        </w:rPr>
        <w:t>Analysis:</w:t>
      </w:r>
    </w:p>
    <w:p w:rsidR="00AE089E" w:rsidRPr="00AE089E" w:rsidRDefault="00AE089E" w:rsidP="00AE089E">
      <w:pPr>
        <w:pStyle w:val="ListParagraph"/>
        <w:numPr>
          <w:ilvl w:val="0"/>
          <w:numId w:val="1"/>
        </w:numPr>
        <w:spacing w:after="120"/>
        <w:rPr>
          <w:rFonts w:ascii="Times New Roman" w:hAnsi="Times New Roman"/>
          <w:sz w:val="22"/>
        </w:rPr>
      </w:pPr>
      <w:r w:rsidRPr="00AE089E">
        <w:rPr>
          <w:rFonts w:ascii="Times New Roman" w:hAnsi="Times New Roman"/>
          <w:sz w:val="22"/>
        </w:rPr>
        <w:t>Paper is concerned about the extent to which public servants are transferring their knowledge to academic scholars</w:t>
      </w:r>
      <w:r>
        <w:rPr>
          <w:rFonts w:ascii="Times New Roman" w:hAnsi="Times New Roman"/>
          <w:sz w:val="22"/>
        </w:rPr>
        <w:t xml:space="preserve"> (acts as a bit of a response to Carroll’s piece – which focuses on the relationship but in the other direction)</w:t>
      </w:r>
    </w:p>
    <w:p w:rsidR="00AE089E" w:rsidRDefault="00AE089E" w:rsidP="00AE089E">
      <w:pPr>
        <w:pStyle w:val="ListParagraph"/>
        <w:numPr>
          <w:ilvl w:val="0"/>
          <w:numId w:val="1"/>
        </w:numPr>
        <w:spacing w:after="120"/>
        <w:rPr>
          <w:rFonts w:ascii="Times New Roman" w:hAnsi="Times New Roman"/>
          <w:sz w:val="22"/>
        </w:rPr>
      </w:pPr>
      <w:r>
        <w:rPr>
          <w:rFonts w:ascii="Times New Roman" w:hAnsi="Times New Roman"/>
          <w:sz w:val="22"/>
        </w:rPr>
        <w:t xml:space="preserve">Paper thus focuses on the “reflective practitioner” – </w:t>
      </w:r>
      <w:r>
        <w:rPr>
          <w:rFonts w:ascii="Times New Roman" w:hAnsi="Times New Roman"/>
          <w:i/>
          <w:sz w:val="22"/>
        </w:rPr>
        <w:t xml:space="preserve">reflection-in-action </w:t>
      </w:r>
      <w:r>
        <w:rPr>
          <w:rFonts w:ascii="Times New Roman" w:hAnsi="Times New Roman"/>
          <w:sz w:val="22"/>
        </w:rPr>
        <w:t>involves a deliberate effort to analyze events and actions so as to draw out learning points and inform future decisions</w:t>
      </w:r>
    </w:p>
    <w:p w:rsidR="00AE089E" w:rsidRDefault="00AE089E" w:rsidP="00AE089E">
      <w:pPr>
        <w:pStyle w:val="ListParagraph"/>
        <w:numPr>
          <w:ilvl w:val="0"/>
          <w:numId w:val="1"/>
        </w:numPr>
        <w:spacing w:after="120"/>
        <w:rPr>
          <w:rFonts w:ascii="Times New Roman" w:hAnsi="Times New Roman"/>
          <w:sz w:val="22"/>
        </w:rPr>
      </w:pPr>
      <w:r>
        <w:rPr>
          <w:rFonts w:ascii="Times New Roman" w:hAnsi="Times New Roman"/>
          <w:sz w:val="22"/>
        </w:rPr>
        <w:t xml:space="preserve">Differs a bit from </w:t>
      </w:r>
      <w:proofErr w:type="spellStart"/>
      <w:r>
        <w:rPr>
          <w:rFonts w:ascii="Times New Roman" w:hAnsi="Times New Roman"/>
          <w:sz w:val="22"/>
        </w:rPr>
        <w:t>Kernaghan’s</w:t>
      </w:r>
      <w:proofErr w:type="spellEnd"/>
      <w:r>
        <w:rPr>
          <w:rFonts w:ascii="Times New Roman" w:hAnsi="Times New Roman"/>
          <w:sz w:val="22"/>
        </w:rPr>
        <w:t xml:space="preserve"> idea of reflection-</w:t>
      </w:r>
      <w:r>
        <w:rPr>
          <w:rFonts w:ascii="Times New Roman" w:hAnsi="Times New Roman"/>
          <w:i/>
          <w:sz w:val="22"/>
        </w:rPr>
        <w:t>on</w:t>
      </w:r>
      <w:r>
        <w:rPr>
          <w:rFonts w:ascii="Times New Roman" w:hAnsi="Times New Roman"/>
          <w:i/>
          <w:sz w:val="22"/>
        </w:rPr>
        <w:softHyphen/>
      </w:r>
      <w:r>
        <w:rPr>
          <w:rFonts w:ascii="Times New Roman" w:hAnsi="Times New Roman"/>
          <w:sz w:val="22"/>
        </w:rPr>
        <w:t>-action – the extent to which practitioners think about, articulate, and disseminate what they have learned from practice</w:t>
      </w:r>
    </w:p>
    <w:p w:rsidR="00FC5477" w:rsidRDefault="00AE089E" w:rsidP="00FC5477">
      <w:pPr>
        <w:pStyle w:val="ListParagraph"/>
        <w:numPr>
          <w:ilvl w:val="0"/>
          <w:numId w:val="1"/>
        </w:numPr>
        <w:spacing w:after="120"/>
        <w:rPr>
          <w:rFonts w:ascii="Times New Roman" w:hAnsi="Times New Roman"/>
          <w:sz w:val="22"/>
        </w:rPr>
      </w:pPr>
      <w:r>
        <w:rPr>
          <w:rFonts w:ascii="Times New Roman" w:hAnsi="Times New Roman"/>
          <w:sz w:val="22"/>
        </w:rPr>
        <w:t>Paper privileges the importance of the scholarly practitioner as a source of learning</w:t>
      </w:r>
      <w:r w:rsidR="00FC5477">
        <w:rPr>
          <w:rFonts w:ascii="Times New Roman" w:hAnsi="Times New Roman"/>
          <w:sz w:val="22"/>
        </w:rPr>
        <w:t xml:space="preserve"> and provides a list of 10 current/</w:t>
      </w:r>
      <w:r w:rsidRPr="00FC5477">
        <w:rPr>
          <w:rFonts w:ascii="Times New Roman" w:hAnsi="Times New Roman"/>
          <w:sz w:val="22"/>
        </w:rPr>
        <w:t xml:space="preserve">former public servants whose contribution to scholarly literature on PA have had substantial influence </w:t>
      </w:r>
    </w:p>
    <w:p w:rsidR="00FC5477" w:rsidRDefault="00FC5477" w:rsidP="00FC5477">
      <w:pPr>
        <w:spacing w:after="120"/>
        <w:rPr>
          <w:rFonts w:ascii="Times New Roman" w:hAnsi="Times New Roman"/>
          <w:b/>
          <w:sz w:val="22"/>
        </w:rPr>
      </w:pPr>
      <w:r>
        <w:rPr>
          <w:rFonts w:ascii="Times New Roman" w:hAnsi="Times New Roman"/>
          <w:b/>
          <w:sz w:val="22"/>
        </w:rPr>
        <w:t>Observations</w:t>
      </w:r>
    </w:p>
    <w:p w:rsidR="00FC5477" w:rsidRPr="00FC5477" w:rsidRDefault="00FC5477" w:rsidP="00FC5477">
      <w:pPr>
        <w:pStyle w:val="ListParagraph"/>
        <w:numPr>
          <w:ilvl w:val="0"/>
          <w:numId w:val="1"/>
        </w:numPr>
        <w:spacing w:after="120"/>
        <w:rPr>
          <w:rFonts w:ascii="Times New Roman" w:hAnsi="Times New Roman"/>
          <w:sz w:val="22"/>
        </w:rPr>
      </w:pPr>
      <w:r w:rsidRPr="00FC5477">
        <w:rPr>
          <w:rFonts w:ascii="Times New Roman" w:hAnsi="Times New Roman"/>
          <w:sz w:val="22"/>
        </w:rPr>
        <w:t>Lack of time is the primary explanation given for the paucity of scholarly writing by public servants, as well as lack of support</w:t>
      </w:r>
    </w:p>
    <w:p w:rsidR="00FC5477" w:rsidRDefault="00FC5477" w:rsidP="00FC5477">
      <w:pPr>
        <w:pStyle w:val="ListParagraph"/>
        <w:numPr>
          <w:ilvl w:val="0"/>
          <w:numId w:val="1"/>
        </w:numPr>
        <w:spacing w:after="120"/>
        <w:rPr>
          <w:rFonts w:ascii="Times New Roman" w:hAnsi="Times New Roman"/>
          <w:sz w:val="22"/>
        </w:rPr>
      </w:pPr>
      <w:r>
        <w:rPr>
          <w:rFonts w:ascii="Times New Roman" w:hAnsi="Times New Roman"/>
          <w:sz w:val="22"/>
        </w:rPr>
        <w:t>General perception that scholarly practitioners are “not one of us”</w:t>
      </w:r>
    </w:p>
    <w:p w:rsidR="00FC5477" w:rsidRDefault="00FC5477" w:rsidP="00FC5477">
      <w:pPr>
        <w:pStyle w:val="ListParagraph"/>
        <w:numPr>
          <w:ilvl w:val="0"/>
          <w:numId w:val="1"/>
        </w:numPr>
        <w:spacing w:after="120"/>
        <w:rPr>
          <w:rFonts w:ascii="Times New Roman" w:hAnsi="Times New Roman"/>
          <w:sz w:val="22"/>
        </w:rPr>
      </w:pPr>
      <w:r>
        <w:rPr>
          <w:rFonts w:ascii="Times New Roman" w:hAnsi="Times New Roman"/>
          <w:sz w:val="22"/>
        </w:rPr>
        <w:t>Some noted that “the senior federal public service does not read, is not aware of the larger debates on PA, does not have a deep awareness of or interest in comparative PA… and is generally uninterested in theory or research”</w:t>
      </w:r>
    </w:p>
    <w:p w:rsidR="00CE6584" w:rsidRPr="00FC5477" w:rsidRDefault="00FC5477" w:rsidP="00FC5477">
      <w:pPr>
        <w:pStyle w:val="ListParagraph"/>
        <w:numPr>
          <w:ilvl w:val="0"/>
          <w:numId w:val="1"/>
        </w:numPr>
        <w:spacing w:after="120"/>
        <w:rPr>
          <w:rFonts w:ascii="Times New Roman" w:hAnsi="Times New Roman"/>
          <w:sz w:val="22"/>
        </w:rPr>
      </w:pPr>
      <w:r>
        <w:rPr>
          <w:rFonts w:ascii="Times New Roman" w:hAnsi="Times New Roman"/>
          <w:sz w:val="22"/>
        </w:rPr>
        <w:t xml:space="preserve">One respondent distinguished between truly self-reflective practitioners, and those whose writings can be attributed in part by self-interest. The former uses writing as an outlet of their thinking – testing ideas before embarking on some action – while the latter looks to their own future (i.e. finding an academic position) or writes for their own sense of accomplishment </w:t>
      </w:r>
    </w:p>
    <w:p w:rsidR="00CE6584" w:rsidRDefault="00CE6584" w:rsidP="00CE6584">
      <w:pPr>
        <w:spacing w:after="120"/>
        <w:rPr>
          <w:rFonts w:ascii="Times New Roman" w:hAnsi="Times New Roman"/>
          <w:sz w:val="22"/>
        </w:rPr>
      </w:pPr>
    </w:p>
    <w:p w:rsidR="00CE6584" w:rsidRDefault="00CE6584" w:rsidP="00CE6584">
      <w:pPr>
        <w:spacing w:after="120"/>
        <w:rPr>
          <w:rFonts w:ascii="Times New Roman" w:hAnsi="Times New Roman"/>
          <w:b/>
          <w:sz w:val="22"/>
        </w:rPr>
      </w:pPr>
      <w:r>
        <w:rPr>
          <w:rFonts w:ascii="Times New Roman" w:hAnsi="Times New Roman"/>
          <w:b/>
          <w:sz w:val="22"/>
        </w:rPr>
        <w:t>Conclusions:</w:t>
      </w:r>
    </w:p>
    <w:p w:rsidR="00CE6584" w:rsidRPr="00CE6584" w:rsidRDefault="00CE6584" w:rsidP="00CE6584">
      <w:pPr>
        <w:spacing w:after="120"/>
        <w:rPr>
          <w:rFonts w:ascii="Times New Roman" w:hAnsi="Times New Roman"/>
          <w:sz w:val="22"/>
        </w:rPr>
      </w:pPr>
      <w:r>
        <w:rPr>
          <w:rFonts w:ascii="Times New Roman" w:hAnsi="Times New Roman"/>
          <w:sz w:val="22"/>
        </w:rPr>
        <w:t xml:space="preserve">Practitioner contributions to scholarly writing can be fostered by such activities as co-authorship with academics, communities of practice and senior-level encouragement. </w:t>
      </w:r>
      <w:r w:rsidR="00B91F7C">
        <w:rPr>
          <w:rFonts w:ascii="Times New Roman" w:hAnsi="Times New Roman"/>
          <w:sz w:val="22"/>
        </w:rPr>
        <w:t>To sustain and extend the tradition of Canada’s public service as a “learned profession” promoted by reflective practitioners, the public administration community needs to make a concerted effort to document and disseminate the wisdom of practitioners.</w:t>
      </w:r>
    </w:p>
    <w:sectPr w:rsidR="00CE6584" w:rsidRPr="00CE6584" w:rsidSect="00CE6584">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5C5D40"/>
    <w:multiLevelType w:val="hybridMultilevel"/>
    <w:tmpl w:val="16FE7484"/>
    <w:lvl w:ilvl="0" w:tplc="0130F024">
      <w:start w:val="11"/>
      <w:numFmt w:val="bullet"/>
      <w:lvlText w:val="-"/>
      <w:lvlJc w:val="left"/>
      <w:pPr>
        <w:ind w:left="720" w:hanging="360"/>
      </w:pPr>
      <w:rPr>
        <w:rFonts w:ascii="Times New Roman" w:eastAsiaTheme="minorHAnsi" w:hAnsi="Times New Roman"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E6584"/>
    <w:rsid w:val="00AE089E"/>
    <w:rsid w:val="00B91F7C"/>
    <w:rsid w:val="00CE6584"/>
    <w:rsid w:val="00FC5477"/>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658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AE089E"/>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2012-04-23T15:02:00Z</dcterms:created>
  <dcterms:modified xsi:type="dcterms:W3CDTF">2012-04-23T15:48:00Z</dcterms:modified>
</cp:coreProperties>
</file>